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30FF6B" w14:textId="77777777" w:rsidR="00493DB6" w:rsidRDefault="008C5211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Пояснительная записка</w:t>
      </w:r>
    </w:p>
    <w:p w14:paraId="02C38723" w14:textId="77777777" w:rsidR="00493DB6" w:rsidRDefault="008C5211" w:rsidP="007B7C7F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 xml:space="preserve">к проекту межгосударственного стандарта </w:t>
      </w:r>
      <w:bookmarkStart w:id="0" w:name="_GoBack"/>
    </w:p>
    <w:p w14:paraId="22240655" w14:textId="469E28C0" w:rsidR="00493DB6" w:rsidRDefault="007B7C7F" w:rsidP="007B7C7F">
      <w:pPr>
        <w:pStyle w:val="10"/>
        <w:suppressAutoHyphens/>
        <w:jc w:val="center"/>
        <w:rPr>
          <w:rFonts w:ascii="Arial" w:eastAsia="Arial" w:hAnsi="Arial" w:cs="Arial"/>
          <w:b/>
          <w:szCs w:val="24"/>
        </w:rPr>
      </w:pPr>
      <w:r w:rsidRPr="007B7C7F">
        <w:rPr>
          <w:rFonts w:ascii="Arial" w:eastAsia="Arial" w:hAnsi="Arial" w:cs="Arial"/>
          <w:b/>
          <w:szCs w:val="24"/>
        </w:rPr>
        <w:t xml:space="preserve">ГОСТ «Определение </w:t>
      </w:r>
      <w:proofErr w:type="spellStart"/>
      <w:r w:rsidRPr="007B7C7F">
        <w:rPr>
          <w:rFonts w:ascii="Arial" w:eastAsia="Arial" w:hAnsi="Arial" w:cs="Arial"/>
          <w:b/>
          <w:szCs w:val="24"/>
        </w:rPr>
        <w:t>плантвакса</w:t>
      </w:r>
      <w:proofErr w:type="spellEnd"/>
      <w:r w:rsidRPr="007B7C7F">
        <w:rPr>
          <w:rFonts w:ascii="Arial" w:eastAsia="Arial" w:hAnsi="Arial" w:cs="Arial"/>
          <w:b/>
          <w:szCs w:val="24"/>
        </w:rPr>
        <w:t xml:space="preserve"> в зерне и воде хроматографией в тонком слое»</w:t>
      </w:r>
      <w:r w:rsidR="008C5211">
        <w:rPr>
          <w:rFonts w:ascii="Arial" w:eastAsia="Arial" w:hAnsi="Arial" w:cs="Arial"/>
          <w:b/>
          <w:szCs w:val="24"/>
        </w:rPr>
        <w:t>»</w:t>
      </w:r>
    </w:p>
    <w:bookmarkEnd w:id="0"/>
    <w:p w14:paraId="5B13C2B2" w14:textId="77777777" w:rsidR="00493DB6" w:rsidRDefault="00493DB6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20211303" w14:textId="77777777" w:rsidR="00493DB6" w:rsidRDefault="008C5211">
      <w:pPr>
        <w:pStyle w:val="30"/>
        <w:spacing w:after="0"/>
        <w:ind w:firstLine="5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1 Основание для разработки стандарта</w:t>
      </w:r>
    </w:p>
    <w:p w14:paraId="2FE32698" w14:textId="77777777" w:rsidR="00493DB6" w:rsidRDefault="008C5211">
      <w:pPr>
        <w:pStyle w:val="10"/>
        <w:suppressAutoHyphens/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Проект межгосударственного стандарта подготовлен в соответствии с приказом председателя Комитета технического регулирования и метрологии Министерства по инвестициям и развитию РК  от 19.07.2017 года № 166-од «Об утверждении Планов государственной стандартизации на 2018-2020годы (приказ о внесении изменений №39-од от 27.01.2020г., утвержденный председателем Комитета технического регулирования и метрологии Министерства торговли интеграции РК).</w:t>
      </w:r>
    </w:p>
    <w:p w14:paraId="384C5A27" w14:textId="77777777" w:rsidR="00493DB6" w:rsidRDefault="00493DB6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642B6833" w14:textId="77777777" w:rsidR="00493DB6" w:rsidRDefault="008C5211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2 Характеристика объекта стандартизации:</w:t>
      </w:r>
    </w:p>
    <w:p w14:paraId="70496B27" w14:textId="77777777" w:rsidR="00493DB6" w:rsidRDefault="008C5211">
      <w:pPr>
        <w:pStyle w:val="a6"/>
        <w:tabs>
          <w:tab w:val="left" w:pos="851"/>
        </w:tabs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Настоящий стандарт устанавливает метод</w:t>
      </w:r>
      <w:r>
        <w:rPr>
          <w:rFonts w:ascii="Arial" w:eastAsia="Arial" w:hAnsi="Arial" w:cs="Arial"/>
          <w:b/>
          <w:color w:val="000000"/>
          <w:sz w:val="24"/>
        </w:rPr>
        <w:t xml:space="preserve"> </w:t>
      </w:r>
      <w:r>
        <w:rPr>
          <w:rFonts w:ascii="Arial" w:eastAsia="Arial" w:hAnsi="Arial" w:cs="Arial"/>
          <w:color w:val="000000"/>
          <w:sz w:val="24"/>
        </w:rPr>
        <w:t xml:space="preserve">тонкослойной хроматографии для определения содержания химического препарата, применяемого для защиты зерновых от ржавчины (бурой, стеблевой и жёлтой) </w:t>
      </w:r>
      <w:proofErr w:type="spellStart"/>
      <w:r>
        <w:rPr>
          <w:rFonts w:ascii="Arial" w:eastAsia="Arial" w:hAnsi="Arial" w:cs="Arial"/>
          <w:color w:val="000000"/>
          <w:sz w:val="24"/>
        </w:rPr>
        <w:t>оксикарбоксина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 (</w:t>
      </w:r>
      <w:proofErr w:type="spellStart"/>
      <w:r>
        <w:rPr>
          <w:rFonts w:ascii="Arial" w:eastAsia="Arial" w:hAnsi="Arial" w:cs="Arial"/>
          <w:color w:val="000000"/>
          <w:sz w:val="24"/>
        </w:rPr>
        <w:t>плантвакса</w:t>
      </w:r>
      <w:proofErr w:type="spellEnd"/>
      <w:r>
        <w:rPr>
          <w:rFonts w:ascii="Arial" w:eastAsia="Arial" w:hAnsi="Arial" w:cs="Arial"/>
          <w:color w:val="000000"/>
          <w:sz w:val="24"/>
        </w:rPr>
        <w:t xml:space="preserve">). </w:t>
      </w:r>
    </w:p>
    <w:p w14:paraId="4BA0B652" w14:textId="77777777" w:rsidR="00493DB6" w:rsidRDefault="00493DB6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kern w:val="1"/>
          <w:szCs w:val="24"/>
        </w:rPr>
      </w:pPr>
    </w:p>
    <w:p w14:paraId="6F7F4B11" w14:textId="77777777" w:rsidR="00493DB6" w:rsidRDefault="008C5211">
      <w:pPr>
        <w:pStyle w:val="10"/>
        <w:ind w:firstLine="510"/>
        <w:jc w:val="both"/>
        <w:rPr>
          <w:rFonts w:ascii="Arial" w:eastAsia="Arial" w:hAnsi="Arial" w:cs="Arial"/>
          <w:b/>
          <w:bCs/>
          <w:szCs w:val="24"/>
        </w:rPr>
      </w:pPr>
      <w:r>
        <w:rPr>
          <w:rFonts w:ascii="Arial" w:eastAsia="Arial" w:hAnsi="Arial" w:cs="Arial"/>
          <w:b/>
          <w:bCs/>
          <w:szCs w:val="24"/>
        </w:rPr>
        <w:t>3 Технико-экономическое обоснование разработки стандарта</w:t>
      </w:r>
    </w:p>
    <w:p w14:paraId="016FBEDF" w14:textId="77777777" w:rsidR="00493DB6" w:rsidRDefault="00493DB6">
      <w:pPr>
        <w:ind w:firstLine="510"/>
        <w:jc w:val="both"/>
        <w:rPr>
          <w:rFonts w:ascii="Arial" w:eastAsia="Arial" w:hAnsi="Arial" w:cs="Arial"/>
          <w:szCs w:val="24"/>
        </w:rPr>
      </w:pPr>
    </w:p>
    <w:p w14:paraId="36FA0F82" w14:textId="77777777" w:rsidR="00493DB6" w:rsidRDefault="008C5211">
      <w:pP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szCs w:val="24"/>
        </w:rPr>
        <w:t xml:space="preserve">Отсутствие остаточного количества пестицида в зерновых является важным показателем доброкачественности и безопасности продукции. Содержание </w:t>
      </w:r>
      <w:proofErr w:type="spellStart"/>
      <w:r>
        <w:rPr>
          <w:rFonts w:ascii="Arial" w:eastAsia="Arial" w:hAnsi="Arial" w:cs="Arial"/>
          <w:kern w:val="1"/>
          <w:szCs w:val="24"/>
        </w:rPr>
        <w:t>оксикарбоксина</w:t>
      </w:r>
      <w:proofErr w:type="spellEnd"/>
      <w:r>
        <w:rPr>
          <w:rFonts w:ascii="Arial" w:eastAsia="Arial" w:hAnsi="Arial" w:cs="Arial"/>
          <w:kern w:val="1"/>
          <w:szCs w:val="24"/>
        </w:rPr>
        <w:t xml:space="preserve"> в зерне хлебных злаков нормируется межгосударственными и международными директивами.</w:t>
      </w:r>
    </w:p>
    <w:p w14:paraId="3231C54C" w14:textId="77777777" w:rsidR="00493DB6" w:rsidRDefault="008C5211">
      <w:pP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szCs w:val="24"/>
        </w:rPr>
        <w:t xml:space="preserve">Разработка проекта стандарта обоснована необходимостью определения остаточного количества </w:t>
      </w:r>
      <w:proofErr w:type="spellStart"/>
      <w:r>
        <w:rPr>
          <w:rFonts w:ascii="Arial" w:eastAsia="Arial" w:hAnsi="Arial" w:cs="Arial"/>
          <w:szCs w:val="24"/>
        </w:rPr>
        <w:t>оксикарбоксина</w:t>
      </w:r>
      <w:proofErr w:type="spellEnd"/>
      <w:r>
        <w:rPr>
          <w:rFonts w:ascii="Arial" w:eastAsia="Arial" w:hAnsi="Arial" w:cs="Arial"/>
          <w:szCs w:val="24"/>
        </w:rPr>
        <w:t xml:space="preserve"> (</w:t>
      </w:r>
      <w:proofErr w:type="spellStart"/>
      <w:r>
        <w:rPr>
          <w:rFonts w:ascii="Arial" w:eastAsia="Arial" w:hAnsi="Arial" w:cs="Arial"/>
          <w:szCs w:val="24"/>
        </w:rPr>
        <w:t>плантвакса</w:t>
      </w:r>
      <w:proofErr w:type="spellEnd"/>
      <w:r>
        <w:rPr>
          <w:rFonts w:ascii="Arial" w:eastAsia="Arial" w:hAnsi="Arial" w:cs="Arial"/>
          <w:szCs w:val="24"/>
        </w:rPr>
        <w:t>).  при сертификации зерновых на соответствие требованиям Технического регламента там</w:t>
      </w:r>
      <w:r>
        <w:rPr>
          <w:rFonts w:ascii="Arial" w:eastAsia="Arial" w:hAnsi="Arial" w:cs="Arial"/>
          <w:kern w:val="1"/>
          <w:szCs w:val="24"/>
        </w:rPr>
        <w:t>оженного союза ТР ТС 015/2011 О безопасности зерна, Единых санитарно-эпидемиологических и гигиенических требований к товарам, подлежащим санитарно-эпидемиологическому надзору (контролю) (Глава II, Раздел 15. Требования  к пестицидам и агрохимикатам) с целью обеспечения контроля за остаточным количеством пестицидов в зерне.</w:t>
      </w:r>
    </w:p>
    <w:p w14:paraId="3A6AB619" w14:textId="77777777" w:rsidR="00493DB6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 xml:space="preserve">Применяемый метод тонкослойной хроматографии является одним из </w:t>
      </w:r>
      <w:proofErr w:type="gramStart"/>
      <w:r>
        <w:rPr>
          <w:rFonts w:ascii="Arial" w:eastAsia="Arial" w:hAnsi="Arial" w:cs="Arial"/>
          <w:kern w:val="1"/>
          <w:szCs w:val="24"/>
        </w:rPr>
        <w:t>простых  методов</w:t>
      </w:r>
      <w:proofErr w:type="gramEnd"/>
      <w:r>
        <w:rPr>
          <w:rFonts w:ascii="Arial" w:eastAsia="Arial" w:hAnsi="Arial" w:cs="Arial"/>
          <w:kern w:val="1"/>
          <w:szCs w:val="24"/>
        </w:rPr>
        <w:t xml:space="preserve"> </w:t>
      </w:r>
      <w:proofErr w:type="spellStart"/>
      <w:r>
        <w:rPr>
          <w:rFonts w:ascii="Arial" w:eastAsia="Arial" w:hAnsi="Arial" w:cs="Arial"/>
          <w:kern w:val="1"/>
          <w:szCs w:val="24"/>
        </w:rPr>
        <w:t>хроматографического</w:t>
      </w:r>
      <w:proofErr w:type="spellEnd"/>
      <w:r>
        <w:rPr>
          <w:rFonts w:ascii="Arial" w:eastAsia="Arial" w:hAnsi="Arial" w:cs="Arial"/>
          <w:kern w:val="1"/>
          <w:szCs w:val="24"/>
        </w:rPr>
        <w:t xml:space="preserve"> анализа. Популярность метода обусловлена рядом существенных преимуществ: универсальность, финансовая доступность, наглядность и информативность, простота техники, простота оборудования и протоколирования результатов. </w:t>
      </w:r>
    </w:p>
    <w:p w14:paraId="2AD8AD7B" w14:textId="77777777" w:rsidR="00493DB6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Тонкослойная хроматография предоставляет большие возможности для анализа и разделения веществ, поскольку и сорбент, и элюент могут варьироваться в широких пределах. При этом коммерчески доступен ряд пластинок с различными сорбентами, что делает возможным быстрое и рутинное использование метода.</w:t>
      </w:r>
    </w:p>
    <w:p w14:paraId="55841DB3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Контроль остаточного количества данного пестицида в зерне позволит объективно оценивать продвижение национального товара на внешние рынки (Таможенный Союз и ЕЭС)</w:t>
      </w:r>
    </w:p>
    <w:p w14:paraId="598B6B18" w14:textId="086DB940" w:rsidR="008C5211" w:rsidRPr="00333C13" w:rsidRDefault="008C5211" w:rsidP="008C5211">
      <w:pPr>
        <w:ind w:firstLine="567"/>
        <w:jc w:val="both"/>
        <w:rPr>
          <w:rFonts w:ascii="Arial" w:eastAsia="Arial" w:hAnsi="Arial" w:cs="Arial"/>
          <w:kern w:val="1"/>
          <w:szCs w:val="24"/>
        </w:rPr>
      </w:pPr>
      <w:r w:rsidRPr="00333C13">
        <w:rPr>
          <w:rFonts w:ascii="Arial" w:eastAsia="Arial" w:hAnsi="Arial" w:cs="Arial"/>
          <w:kern w:val="1"/>
          <w:szCs w:val="24"/>
        </w:rPr>
        <w:t>Проект стандарта необходим для применения и исполнения требований техническ</w:t>
      </w:r>
      <w:r>
        <w:rPr>
          <w:rFonts w:ascii="Arial" w:eastAsia="Arial" w:hAnsi="Arial" w:cs="Arial"/>
          <w:kern w:val="1"/>
          <w:szCs w:val="24"/>
        </w:rPr>
        <w:t>ого</w:t>
      </w:r>
      <w:r w:rsidRPr="00333C13">
        <w:rPr>
          <w:rFonts w:ascii="Arial" w:eastAsia="Arial" w:hAnsi="Arial" w:cs="Arial"/>
          <w:kern w:val="1"/>
          <w:szCs w:val="24"/>
        </w:rPr>
        <w:t xml:space="preserve"> регламент</w:t>
      </w:r>
      <w:r>
        <w:rPr>
          <w:rFonts w:ascii="Arial" w:eastAsia="Arial" w:hAnsi="Arial" w:cs="Arial"/>
          <w:kern w:val="1"/>
          <w:szCs w:val="24"/>
        </w:rPr>
        <w:t>а</w:t>
      </w:r>
      <w:r w:rsidRPr="00333C13">
        <w:rPr>
          <w:rFonts w:ascii="Arial" w:eastAsia="Arial" w:hAnsi="Arial" w:cs="Arial"/>
          <w:kern w:val="1"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таможенного союза ТР ТС 015/2011 О безопасности зерна</w:t>
      </w:r>
      <w:r w:rsidR="007B7C7F">
        <w:rPr>
          <w:rFonts w:ascii="Arial" w:eastAsia="Arial" w:hAnsi="Arial" w:cs="Arial"/>
          <w:szCs w:val="24"/>
        </w:rPr>
        <w:t xml:space="preserve"> </w:t>
      </w:r>
      <w:r w:rsidR="007B7C7F" w:rsidRPr="00333C13">
        <w:rPr>
          <w:rFonts w:ascii="Arial" w:eastAsia="Arial" w:hAnsi="Arial" w:cs="Arial"/>
          <w:kern w:val="1"/>
          <w:szCs w:val="24"/>
        </w:rPr>
        <w:t>и осуществления оценки соответствия объектов технического регулирования</w:t>
      </w:r>
    </w:p>
    <w:p w14:paraId="487449F2" w14:textId="77777777" w:rsidR="00493DB6" w:rsidRDefault="00493DB6">
      <w:pPr>
        <w:ind w:firstLine="510"/>
        <w:jc w:val="both"/>
        <w:rPr>
          <w:rFonts w:ascii="Arial" w:eastAsia="Arial" w:hAnsi="Arial" w:cs="Arial"/>
          <w:szCs w:val="24"/>
        </w:rPr>
      </w:pPr>
    </w:p>
    <w:p w14:paraId="3045B4AA" w14:textId="77777777" w:rsidR="00493DB6" w:rsidRDefault="008C5211">
      <w:pPr>
        <w:pStyle w:val="a6"/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b/>
          <w:color w:val="000000"/>
          <w:sz w:val="24"/>
        </w:rPr>
        <w:t>4 Обоснование целесообразности разработки стандарта на межгосударственном уровне</w:t>
      </w:r>
    </w:p>
    <w:p w14:paraId="7D3098DF" w14:textId="77777777" w:rsidR="00493DB6" w:rsidRDefault="008C5211">
      <w:pPr>
        <w:pStyle w:val="a6"/>
        <w:ind w:firstLine="510"/>
        <w:jc w:val="both"/>
        <w:rPr>
          <w:rFonts w:ascii="Arial" w:eastAsia="Arial" w:hAnsi="Arial" w:cs="Arial"/>
          <w:color w:val="000000"/>
          <w:sz w:val="24"/>
        </w:rPr>
      </w:pPr>
      <w:r>
        <w:rPr>
          <w:rFonts w:ascii="Arial" w:eastAsia="Arial" w:hAnsi="Arial" w:cs="Arial"/>
          <w:color w:val="000000"/>
          <w:sz w:val="24"/>
        </w:rPr>
        <w:t>Создание единой межгосударственной нормативной базы в данной области, соответствующей требованиям международных стандартов.</w:t>
      </w:r>
    </w:p>
    <w:p w14:paraId="4C65AF47" w14:textId="77777777" w:rsidR="00493DB6" w:rsidRDefault="00493DB6">
      <w:pPr>
        <w:ind w:firstLine="510"/>
        <w:jc w:val="both"/>
        <w:rPr>
          <w:rFonts w:ascii="Arial" w:eastAsia="Arial" w:hAnsi="Arial" w:cs="Arial"/>
          <w:szCs w:val="24"/>
        </w:rPr>
      </w:pPr>
    </w:p>
    <w:p w14:paraId="0E72E675" w14:textId="77777777" w:rsidR="00493DB6" w:rsidRDefault="008C5211">
      <w:pPr>
        <w:tabs>
          <w:tab w:val="left" w:pos="540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lastRenderedPageBreak/>
        <w:t xml:space="preserve">5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международного стандарта </w:t>
      </w:r>
    </w:p>
    <w:p w14:paraId="68FFD478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Настоящий проект стандарта соответствует ГОСТ 1.0-1992 «Межгосударственная система стандартизации. Основные положения», ГОСТ 1.2-2009 «Межгосударственная система стандартизации. Стандарты межгосударственные, правила и рекомендации по межгосударственной стандартизации. Порядок разработки, принятия, применения, обновления и отмены», ГОСТ 1.3-2008 «Межгосударственная система стандартизации. Правила и методы принятия международных и региональных стандартов в качестве межгосударственных стандартов», ГОСТ 1.5-2001</w:t>
      </w:r>
      <w:r>
        <w:rPr>
          <w:rFonts w:ascii="Arial" w:eastAsia="Arial" w:hAnsi="Arial" w:cs="Arial"/>
          <w:b/>
          <w:i/>
          <w:szCs w:val="24"/>
        </w:rPr>
        <w:t xml:space="preserve"> </w:t>
      </w:r>
      <w:r>
        <w:rPr>
          <w:rFonts w:ascii="Arial" w:eastAsia="Arial" w:hAnsi="Arial" w:cs="Arial"/>
          <w:szCs w:val="24"/>
        </w:rPr>
        <w:t>«Межгосударственная система стандартизации. Стандарты межгосударственные, правила и рекомендации по межгосударственной стандартизации. Общие требования к построению, изложению, оформлению, содержанию и обозначению».</w:t>
      </w:r>
    </w:p>
    <w:p w14:paraId="3986E1C0" w14:textId="77777777" w:rsidR="00493DB6" w:rsidRDefault="00493DB6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068F5AA5" w14:textId="77777777" w:rsidR="00493DB6" w:rsidRDefault="008C5211">
      <w:pPr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6 Предложения по изменению, пересмотру или отмене межгосударственных стандартов, противоречащих предложенному проекту стандарта</w:t>
      </w:r>
    </w:p>
    <w:p w14:paraId="449521E4" w14:textId="77777777" w:rsidR="00493DB6" w:rsidRDefault="00493DB6">
      <w:pPr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2841F947" w14:textId="77777777" w:rsidR="00493DB6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Разрабатываемый стандарт не влечет за собой внесения изменений или отмены других нормативных документов.</w:t>
      </w:r>
    </w:p>
    <w:p w14:paraId="0604DD48" w14:textId="77777777" w:rsidR="00493DB6" w:rsidRPr="008C5211" w:rsidRDefault="00493DB6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</w:p>
    <w:p w14:paraId="03A9C763" w14:textId="77777777" w:rsidR="00493DB6" w:rsidRPr="008C5211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b/>
          <w:bCs/>
          <w:szCs w:val="24"/>
        </w:rPr>
      </w:pPr>
      <w:r w:rsidRPr="008C5211">
        <w:rPr>
          <w:rFonts w:ascii="Arial" w:eastAsia="Arial" w:hAnsi="Arial" w:cs="Arial"/>
          <w:b/>
          <w:bCs/>
          <w:szCs w:val="24"/>
        </w:rPr>
        <w:t xml:space="preserve">7 Информация о национальных органах, проголосовавших за </w:t>
      </w:r>
      <w:proofErr w:type="gramStart"/>
      <w:r w:rsidRPr="008C5211">
        <w:rPr>
          <w:rFonts w:ascii="Arial" w:eastAsia="Arial" w:hAnsi="Arial" w:cs="Arial"/>
          <w:b/>
          <w:bCs/>
          <w:szCs w:val="24"/>
        </w:rPr>
        <w:t>принятие  стандарта</w:t>
      </w:r>
      <w:proofErr w:type="gramEnd"/>
    </w:p>
    <w:p w14:paraId="2352C53B" w14:textId="77777777" w:rsidR="00493DB6" w:rsidRPr="008C5211" w:rsidRDefault="00493DB6">
      <w:pPr>
        <w:ind w:firstLine="510"/>
        <w:jc w:val="both"/>
        <w:rPr>
          <w:rFonts w:ascii="Arial" w:eastAsia="Arial" w:hAnsi="Arial" w:cs="Arial"/>
          <w:szCs w:val="24"/>
        </w:rPr>
      </w:pPr>
    </w:p>
    <w:p w14:paraId="39653EFA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b/>
          <w:szCs w:val="24"/>
        </w:rPr>
        <w:t xml:space="preserve">8 Перечень исходных документов и другие источники информации, использованные при разработке стандарта </w:t>
      </w:r>
    </w:p>
    <w:p w14:paraId="7C2DCECA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- Технический регламент таможенного союза ТР ТС 015/2011 О безопасности зерна</w:t>
      </w:r>
    </w:p>
    <w:p w14:paraId="046310A6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ВМУ № 3001-84 «Временные методические указания по определению </w:t>
      </w:r>
      <w:proofErr w:type="spellStart"/>
      <w:r>
        <w:rPr>
          <w:rFonts w:ascii="Arial" w:eastAsia="Arial" w:hAnsi="Arial" w:cs="Arial"/>
          <w:szCs w:val="24"/>
        </w:rPr>
        <w:t>плантвакса</w:t>
      </w:r>
      <w:proofErr w:type="spellEnd"/>
      <w:r>
        <w:rPr>
          <w:rFonts w:ascii="Arial" w:eastAsia="Arial" w:hAnsi="Arial" w:cs="Arial"/>
          <w:szCs w:val="24"/>
        </w:rPr>
        <w:t xml:space="preserve"> в зерне и воде хроматографией в тонком слое»</w:t>
      </w:r>
    </w:p>
    <w:p w14:paraId="67826E1E" w14:textId="77777777" w:rsidR="00493DB6" w:rsidRDefault="008C5211">
      <w:pPr>
        <w:pBdr>
          <w:top w:val="nil"/>
          <w:left w:val="nil"/>
          <w:bottom w:val="nil"/>
          <w:right w:val="nil"/>
          <w:between w:val="nil"/>
        </w:pBdr>
        <w:tabs>
          <w:tab w:val="left" w:pos="1584"/>
        </w:tabs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- Единые санитарно-эпидемиологические и гигиенические требования к товарам, подлежащим санитарно-эпидемиологическому надзору (контролю) (Глава II, Раздел 15. </w:t>
      </w:r>
      <w:proofErr w:type="gramStart"/>
      <w:r>
        <w:rPr>
          <w:rFonts w:ascii="Arial" w:eastAsia="Arial" w:hAnsi="Arial" w:cs="Arial"/>
          <w:szCs w:val="24"/>
        </w:rPr>
        <w:t>Требования  к</w:t>
      </w:r>
      <w:proofErr w:type="gramEnd"/>
      <w:r>
        <w:rPr>
          <w:rFonts w:ascii="Arial" w:eastAsia="Arial" w:hAnsi="Arial" w:cs="Arial"/>
          <w:szCs w:val="24"/>
        </w:rPr>
        <w:t xml:space="preserve"> пестицидам и агрохимикатам)</w:t>
      </w:r>
    </w:p>
    <w:p w14:paraId="11C76F7C" w14:textId="77777777" w:rsidR="00493DB6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>Регламент (ЕС) № 396/2005 Европейского парламента и совета от 23 февраля 2005 года по максимальным уровням остатков пестицидов в пищевых продуктах и кормах растительного и животного происхождения, вносящий поправки в Директиву Совета 91/414/ЕЕС</w:t>
      </w:r>
    </w:p>
    <w:p w14:paraId="2B0CA1D1" w14:textId="77777777" w:rsidR="00493DB6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 xml:space="preserve">Соглашение ВТО по санитарным и фитосанитарным мерам. </w:t>
      </w:r>
    </w:p>
    <w:p w14:paraId="1EA8AA7E" w14:textId="77777777" w:rsidR="00493DB6" w:rsidRDefault="008C5211">
      <w:pPr>
        <w:widowControl w:val="0"/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kern w:val="1"/>
          <w:szCs w:val="24"/>
        </w:rPr>
      </w:pPr>
      <w:r>
        <w:rPr>
          <w:rFonts w:ascii="Arial" w:eastAsia="Arial" w:hAnsi="Arial" w:cs="Arial"/>
          <w:kern w:val="1"/>
          <w:szCs w:val="24"/>
        </w:rPr>
        <w:t xml:space="preserve">Договор о Евразийском экономическом союзе от 29 мая 2014 г. </w:t>
      </w:r>
    </w:p>
    <w:p w14:paraId="47A155E6" w14:textId="77777777" w:rsidR="00493DB6" w:rsidRDefault="00493DB6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</w:p>
    <w:p w14:paraId="13694641" w14:textId="77777777" w:rsidR="00493DB6" w:rsidRDefault="008C5211">
      <w:pPr>
        <w:pStyle w:val="10"/>
        <w:suppressAutoHyphens/>
        <w:ind w:firstLine="510"/>
        <w:jc w:val="both"/>
        <w:rPr>
          <w:rFonts w:ascii="Arial" w:eastAsia="Arial" w:hAnsi="Arial" w:cs="Arial"/>
          <w:b/>
          <w:szCs w:val="24"/>
        </w:rPr>
      </w:pPr>
      <w:r>
        <w:rPr>
          <w:rFonts w:ascii="Arial" w:eastAsia="Arial" w:hAnsi="Arial" w:cs="Arial"/>
          <w:b/>
          <w:szCs w:val="24"/>
        </w:rPr>
        <w:t>9 Данные о разработчике</w:t>
      </w:r>
    </w:p>
    <w:p w14:paraId="48B8DC17" w14:textId="77777777" w:rsidR="00493DB6" w:rsidRDefault="008C5211">
      <w:pPr>
        <w:pBdr>
          <w:top w:val="nil"/>
          <w:left w:val="nil"/>
          <w:bottom w:val="nil"/>
          <w:right w:val="nil"/>
          <w:between w:val="nil"/>
        </w:pBd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РГП на ПХВ «Казахстанский институт стандартизации и сертификации» Комитетом технического регулирования и метрологии Министерства торговли и интеграции Республики Казахстан</w:t>
      </w:r>
    </w:p>
    <w:p w14:paraId="76E04C33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Адрес: Республика Казахстан</w:t>
      </w:r>
    </w:p>
    <w:p w14:paraId="15D8254F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 xml:space="preserve">010000, г. Астана, пр. </w:t>
      </w:r>
      <w:r>
        <w:rPr>
          <w:rFonts w:ascii="Arial" w:eastAsia="Arial" w:hAnsi="Arial" w:cs="Arial"/>
          <w:szCs w:val="24"/>
          <w:lang w:val="kk-KZ"/>
        </w:rPr>
        <w:t>Мәнгілік ел</w:t>
      </w:r>
      <w:r>
        <w:rPr>
          <w:rFonts w:ascii="Arial" w:eastAsia="Arial" w:hAnsi="Arial" w:cs="Arial"/>
          <w:szCs w:val="24"/>
        </w:rPr>
        <w:t xml:space="preserve"> 11, здание «Эталонный центр»</w:t>
      </w:r>
    </w:p>
    <w:p w14:paraId="201C0704" w14:textId="77777777" w:rsidR="00493DB6" w:rsidRDefault="008C5211">
      <w:pPr>
        <w:ind w:firstLine="510"/>
        <w:jc w:val="both"/>
        <w:rPr>
          <w:rFonts w:ascii="Arial" w:eastAsia="Arial" w:hAnsi="Arial" w:cs="Arial"/>
          <w:szCs w:val="24"/>
        </w:rPr>
      </w:pPr>
      <w:r>
        <w:rPr>
          <w:rFonts w:ascii="Arial" w:eastAsia="Arial" w:hAnsi="Arial" w:cs="Arial"/>
          <w:szCs w:val="24"/>
        </w:rPr>
        <w:t>Тел. 8 (7172) 44-64-24</w:t>
      </w:r>
    </w:p>
    <w:p w14:paraId="6E45EA95" w14:textId="77777777" w:rsidR="00493DB6" w:rsidRDefault="00493DB6">
      <w:pPr>
        <w:suppressAutoHyphens/>
        <w:rPr>
          <w:rFonts w:ascii="Arial" w:hAnsi="Arial" w:cs="Arial"/>
          <w:szCs w:val="24"/>
        </w:rPr>
      </w:pPr>
    </w:p>
    <w:p w14:paraId="0B4556EF" w14:textId="77777777" w:rsidR="00493DB6" w:rsidRDefault="008C5211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Заместитель</w:t>
      </w:r>
    </w:p>
    <w:p w14:paraId="7E24CB96" w14:textId="77777777" w:rsidR="00493DB6" w:rsidRDefault="008C5211">
      <w:pPr>
        <w:ind w:firstLine="567"/>
        <w:jc w:val="both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Генерального директора                                                                И.В. Хамитов</w:t>
      </w:r>
    </w:p>
    <w:sectPr w:rsidR="00493DB6">
      <w:endnotePr>
        <w:numFmt w:val="decimal"/>
      </w:endnotePr>
      <w:pgSz w:w="11906" w:h="16838"/>
      <w:pgMar w:top="1134" w:right="1134" w:bottom="1134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Kaz">
    <w:charset w:val="00"/>
    <w:family w:val="swiss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1A1EA0"/>
    <w:multiLevelType w:val="hybridMultilevel"/>
    <w:tmpl w:val="13E46E9C"/>
    <w:lvl w:ilvl="0" w:tplc="D9D2EB16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55446D5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974BF0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3DE01E8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72BC182C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D7149C1A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28A49EC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CB1CA72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24A4F93C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BDD1930"/>
    <w:multiLevelType w:val="hybridMultilevel"/>
    <w:tmpl w:val="0C846E5C"/>
    <w:name w:val="Нумерованный список 1"/>
    <w:lvl w:ilvl="0" w:tplc="546E6552">
      <w:start w:val="12"/>
      <w:numFmt w:val="decimal"/>
      <w:lvlText w:val="%1."/>
      <w:lvlJc w:val="left"/>
      <w:pPr>
        <w:ind w:left="360" w:firstLine="0"/>
      </w:pPr>
    </w:lvl>
    <w:lvl w:ilvl="1" w:tplc="6D023F7C">
      <w:start w:val="1"/>
      <w:numFmt w:val="lowerLetter"/>
      <w:lvlText w:val="%2."/>
      <w:lvlJc w:val="left"/>
      <w:pPr>
        <w:ind w:left="1080" w:firstLine="0"/>
      </w:pPr>
    </w:lvl>
    <w:lvl w:ilvl="2" w:tplc="E02471BE">
      <w:start w:val="1"/>
      <w:numFmt w:val="lowerRoman"/>
      <w:lvlText w:val="%3."/>
      <w:lvlJc w:val="left"/>
      <w:pPr>
        <w:ind w:left="1980" w:firstLine="0"/>
      </w:pPr>
    </w:lvl>
    <w:lvl w:ilvl="3" w:tplc="2992318C">
      <w:start w:val="1"/>
      <w:numFmt w:val="decimal"/>
      <w:lvlText w:val="%4."/>
      <w:lvlJc w:val="left"/>
      <w:pPr>
        <w:ind w:left="2520" w:firstLine="0"/>
      </w:pPr>
    </w:lvl>
    <w:lvl w:ilvl="4" w:tplc="3320CCD6">
      <w:start w:val="1"/>
      <w:numFmt w:val="lowerLetter"/>
      <w:lvlText w:val="%5."/>
      <w:lvlJc w:val="left"/>
      <w:pPr>
        <w:ind w:left="3240" w:firstLine="0"/>
      </w:pPr>
    </w:lvl>
    <w:lvl w:ilvl="5" w:tplc="BE8EF474">
      <w:start w:val="1"/>
      <w:numFmt w:val="lowerRoman"/>
      <w:lvlText w:val="%6."/>
      <w:lvlJc w:val="left"/>
      <w:pPr>
        <w:ind w:left="4140" w:firstLine="0"/>
      </w:pPr>
    </w:lvl>
    <w:lvl w:ilvl="6" w:tplc="C5E6A81E">
      <w:start w:val="1"/>
      <w:numFmt w:val="decimal"/>
      <w:lvlText w:val="%7."/>
      <w:lvlJc w:val="left"/>
      <w:pPr>
        <w:ind w:left="4680" w:firstLine="0"/>
      </w:pPr>
    </w:lvl>
    <w:lvl w:ilvl="7" w:tplc="194E3AC6">
      <w:start w:val="1"/>
      <w:numFmt w:val="lowerLetter"/>
      <w:lvlText w:val="%8."/>
      <w:lvlJc w:val="left"/>
      <w:pPr>
        <w:ind w:left="5400" w:firstLine="0"/>
      </w:pPr>
    </w:lvl>
    <w:lvl w:ilvl="8" w:tplc="2812C10C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2F580DD7"/>
    <w:multiLevelType w:val="hybridMultilevel"/>
    <w:tmpl w:val="46D250B4"/>
    <w:name w:val="Нумерованный список 2"/>
    <w:lvl w:ilvl="0" w:tplc="89342148">
      <w:start w:val="1"/>
      <w:numFmt w:val="decimal"/>
      <w:lvlText w:val="%1."/>
      <w:lvlJc w:val="left"/>
      <w:pPr>
        <w:ind w:left="709" w:firstLine="0"/>
      </w:pPr>
    </w:lvl>
    <w:lvl w:ilvl="1" w:tplc="43B621AC">
      <w:start w:val="1"/>
      <w:numFmt w:val="lowerLetter"/>
      <w:lvlText w:val="%2."/>
      <w:lvlJc w:val="left"/>
      <w:pPr>
        <w:ind w:left="1080" w:firstLine="0"/>
      </w:pPr>
    </w:lvl>
    <w:lvl w:ilvl="2" w:tplc="2F1245A6">
      <w:start w:val="1"/>
      <w:numFmt w:val="lowerRoman"/>
      <w:lvlText w:val="%3."/>
      <w:lvlJc w:val="left"/>
      <w:pPr>
        <w:ind w:left="1980" w:firstLine="0"/>
      </w:pPr>
    </w:lvl>
    <w:lvl w:ilvl="3" w:tplc="46CA00C0">
      <w:start w:val="1"/>
      <w:numFmt w:val="decimal"/>
      <w:lvlText w:val="%4."/>
      <w:lvlJc w:val="left"/>
      <w:pPr>
        <w:ind w:left="2520" w:firstLine="0"/>
      </w:pPr>
    </w:lvl>
    <w:lvl w:ilvl="4" w:tplc="06B005A2">
      <w:start w:val="1"/>
      <w:numFmt w:val="lowerLetter"/>
      <w:lvlText w:val="%5."/>
      <w:lvlJc w:val="left"/>
      <w:pPr>
        <w:ind w:left="3240" w:firstLine="0"/>
      </w:pPr>
    </w:lvl>
    <w:lvl w:ilvl="5" w:tplc="657CC3B6">
      <w:start w:val="1"/>
      <w:numFmt w:val="lowerRoman"/>
      <w:lvlText w:val="%6."/>
      <w:lvlJc w:val="left"/>
      <w:pPr>
        <w:ind w:left="4140" w:firstLine="0"/>
      </w:pPr>
    </w:lvl>
    <w:lvl w:ilvl="6" w:tplc="D11A84E4">
      <w:start w:val="1"/>
      <w:numFmt w:val="decimal"/>
      <w:lvlText w:val="%7."/>
      <w:lvlJc w:val="left"/>
      <w:pPr>
        <w:ind w:left="4680" w:firstLine="0"/>
      </w:pPr>
    </w:lvl>
    <w:lvl w:ilvl="7" w:tplc="96605632">
      <w:start w:val="1"/>
      <w:numFmt w:val="lowerLetter"/>
      <w:lvlText w:val="%8."/>
      <w:lvlJc w:val="left"/>
      <w:pPr>
        <w:ind w:left="5400" w:firstLine="0"/>
      </w:pPr>
    </w:lvl>
    <w:lvl w:ilvl="8" w:tplc="544C6C9C">
      <w:start w:val="1"/>
      <w:numFmt w:val="lowerRoman"/>
      <w:lvlText w:val="%9."/>
      <w:lvlJc w:val="left"/>
      <w:pPr>
        <w:ind w:left="6300" w:firstLine="0"/>
      </w:pPr>
    </w:lvl>
  </w:abstractNum>
  <w:abstractNum w:abstractNumId="3" w15:restartNumberingAfterBreak="0">
    <w:nsid w:val="4A9926A6"/>
    <w:multiLevelType w:val="hybridMultilevel"/>
    <w:tmpl w:val="D6287B12"/>
    <w:name w:val="Нумерованный список 5"/>
    <w:lvl w:ilvl="0" w:tplc="E6587564">
      <w:start w:val="1"/>
      <w:numFmt w:val="decimal"/>
      <w:lvlText w:val="%1."/>
      <w:lvlJc w:val="left"/>
      <w:pPr>
        <w:ind w:left="360" w:firstLine="0"/>
      </w:pPr>
    </w:lvl>
    <w:lvl w:ilvl="1" w:tplc="DBD8912E">
      <w:start w:val="1"/>
      <w:numFmt w:val="lowerLetter"/>
      <w:lvlText w:val="%2."/>
      <w:lvlJc w:val="left"/>
      <w:pPr>
        <w:ind w:left="1080" w:firstLine="0"/>
      </w:pPr>
    </w:lvl>
    <w:lvl w:ilvl="2" w:tplc="F3CA383A">
      <w:start w:val="1"/>
      <w:numFmt w:val="lowerRoman"/>
      <w:lvlText w:val="%3."/>
      <w:lvlJc w:val="left"/>
      <w:pPr>
        <w:ind w:left="1980" w:firstLine="0"/>
      </w:pPr>
    </w:lvl>
    <w:lvl w:ilvl="3" w:tplc="7F58C7EE">
      <w:start w:val="1"/>
      <w:numFmt w:val="decimal"/>
      <w:lvlText w:val="%4."/>
      <w:lvlJc w:val="left"/>
      <w:pPr>
        <w:ind w:left="2520" w:firstLine="0"/>
      </w:pPr>
    </w:lvl>
    <w:lvl w:ilvl="4" w:tplc="6E8C9042">
      <w:start w:val="1"/>
      <w:numFmt w:val="lowerLetter"/>
      <w:lvlText w:val="%5."/>
      <w:lvlJc w:val="left"/>
      <w:pPr>
        <w:ind w:left="3240" w:firstLine="0"/>
      </w:pPr>
    </w:lvl>
    <w:lvl w:ilvl="5" w:tplc="CE960DC4">
      <w:start w:val="1"/>
      <w:numFmt w:val="lowerRoman"/>
      <w:lvlText w:val="%6."/>
      <w:lvlJc w:val="left"/>
      <w:pPr>
        <w:ind w:left="4140" w:firstLine="0"/>
      </w:pPr>
    </w:lvl>
    <w:lvl w:ilvl="6" w:tplc="593854D0">
      <w:start w:val="1"/>
      <w:numFmt w:val="decimal"/>
      <w:lvlText w:val="%7."/>
      <w:lvlJc w:val="left"/>
      <w:pPr>
        <w:ind w:left="4680" w:firstLine="0"/>
      </w:pPr>
    </w:lvl>
    <w:lvl w:ilvl="7" w:tplc="01D45D1A">
      <w:start w:val="1"/>
      <w:numFmt w:val="lowerLetter"/>
      <w:lvlText w:val="%8."/>
      <w:lvlJc w:val="left"/>
      <w:pPr>
        <w:ind w:left="5400" w:firstLine="0"/>
      </w:pPr>
    </w:lvl>
    <w:lvl w:ilvl="8" w:tplc="47528AA0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547C4F32"/>
    <w:multiLevelType w:val="hybridMultilevel"/>
    <w:tmpl w:val="E20EE416"/>
    <w:name w:val="Нумерованный список 4"/>
    <w:lvl w:ilvl="0" w:tplc="A80C44F4">
      <w:start w:val="1"/>
      <w:numFmt w:val="decimal"/>
      <w:lvlText w:val="%1."/>
      <w:lvlJc w:val="left"/>
      <w:pPr>
        <w:ind w:left="1069" w:firstLine="0"/>
      </w:pPr>
    </w:lvl>
    <w:lvl w:ilvl="1" w:tplc="CF9E70C2">
      <w:start w:val="1"/>
      <w:numFmt w:val="lowerLetter"/>
      <w:lvlText w:val="%2."/>
      <w:lvlJc w:val="left"/>
      <w:pPr>
        <w:ind w:left="1789" w:firstLine="0"/>
      </w:pPr>
    </w:lvl>
    <w:lvl w:ilvl="2" w:tplc="44DAF320">
      <w:start w:val="1"/>
      <w:numFmt w:val="lowerRoman"/>
      <w:lvlText w:val="%3."/>
      <w:lvlJc w:val="left"/>
      <w:pPr>
        <w:ind w:left="2689" w:firstLine="0"/>
      </w:pPr>
    </w:lvl>
    <w:lvl w:ilvl="3" w:tplc="9446D452">
      <w:start w:val="1"/>
      <w:numFmt w:val="decimal"/>
      <w:lvlText w:val="%4."/>
      <w:lvlJc w:val="left"/>
      <w:pPr>
        <w:ind w:left="3229" w:firstLine="0"/>
      </w:pPr>
    </w:lvl>
    <w:lvl w:ilvl="4" w:tplc="E5CC8088">
      <w:start w:val="1"/>
      <w:numFmt w:val="lowerLetter"/>
      <w:lvlText w:val="%5."/>
      <w:lvlJc w:val="left"/>
      <w:pPr>
        <w:ind w:left="3949" w:firstLine="0"/>
      </w:pPr>
    </w:lvl>
    <w:lvl w:ilvl="5" w:tplc="65CA5D5E">
      <w:start w:val="1"/>
      <w:numFmt w:val="lowerRoman"/>
      <w:lvlText w:val="%6."/>
      <w:lvlJc w:val="left"/>
      <w:pPr>
        <w:ind w:left="4849" w:firstLine="0"/>
      </w:pPr>
    </w:lvl>
    <w:lvl w:ilvl="6" w:tplc="783868D2">
      <w:start w:val="1"/>
      <w:numFmt w:val="decimal"/>
      <w:lvlText w:val="%7."/>
      <w:lvlJc w:val="left"/>
      <w:pPr>
        <w:ind w:left="5389" w:firstLine="0"/>
      </w:pPr>
    </w:lvl>
    <w:lvl w:ilvl="7" w:tplc="9B48C0D4">
      <w:start w:val="1"/>
      <w:numFmt w:val="lowerLetter"/>
      <w:lvlText w:val="%8."/>
      <w:lvlJc w:val="left"/>
      <w:pPr>
        <w:ind w:left="6109" w:firstLine="0"/>
      </w:pPr>
    </w:lvl>
    <w:lvl w:ilvl="8" w:tplc="3A52AB64">
      <w:start w:val="1"/>
      <w:numFmt w:val="lowerRoman"/>
      <w:lvlText w:val="%9."/>
      <w:lvlJc w:val="left"/>
      <w:pPr>
        <w:ind w:left="7009" w:firstLine="0"/>
      </w:pPr>
    </w:lvl>
  </w:abstractNum>
  <w:abstractNum w:abstractNumId="5" w15:restartNumberingAfterBreak="0">
    <w:nsid w:val="57B92A14"/>
    <w:multiLevelType w:val="hybridMultilevel"/>
    <w:tmpl w:val="01BE2394"/>
    <w:name w:val="Нумерованный список 6"/>
    <w:lvl w:ilvl="0" w:tplc="522E35CA">
      <w:start w:val="1"/>
      <w:numFmt w:val="decimal"/>
      <w:lvlText w:val="%1."/>
      <w:lvlJc w:val="left"/>
      <w:pPr>
        <w:ind w:left="709" w:firstLine="0"/>
      </w:pPr>
    </w:lvl>
    <w:lvl w:ilvl="1" w:tplc="0C38FB72">
      <w:start w:val="1"/>
      <w:numFmt w:val="lowerLetter"/>
      <w:lvlText w:val="%2."/>
      <w:lvlJc w:val="left"/>
      <w:pPr>
        <w:ind w:left="1429" w:firstLine="0"/>
      </w:pPr>
    </w:lvl>
    <w:lvl w:ilvl="2" w:tplc="CB6A51DA">
      <w:start w:val="1"/>
      <w:numFmt w:val="lowerRoman"/>
      <w:lvlText w:val="%3."/>
      <w:lvlJc w:val="left"/>
      <w:pPr>
        <w:ind w:left="2329" w:firstLine="0"/>
      </w:pPr>
    </w:lvl>
    <w:lvl w:ilvl="3" w:tplc="743813AE">
      <w:start w:val="1"/>
      <w:numFmt w:val="decimal"/>
      <w:lvlText w:val="%4."/>
      <w:lvlJc w:val="left"/>
      <w:pPr>
        <w:ind w:left="2869" w:firstLine="0"/>
      </w:pPr>
    </w:lvl>
    <w:lvl w:ilvl="4" w:tplc="4A540846">
      <w:start w:val="1"/>
      <w:numFmt w:val="lowerLetter"/>
      <w:lvlText w:val="%5."/>
      <w:lvlJc w:val="left"/>
      <w:pPr>
        <w:ind w:left="3589" w:firstLine="0"/>
      </w:pPr>
    </w:lvl>
    <w:lvl w:ilvl="5" w:tplc="BAB89F24">
      <w:start w:val="1"/>
      <w:numFmt w:val="lowerRoman"/>
      <w:lvlText w:val="%6."/>
      <w:lvlJc w:val="left"/>
      <w:pPr>
        <w:ind w:left="4489" w:firstLine="0"/>
      </w:pPr>
    </w:lvl>
    <w:lvl w:ilvl="6" w:tplc="AD3A0308">
      <w:start w:val="1"/>
      <w:numFmt w:val="decimal"/>
      <w:lvlText w:val="%7."/>
      <w:lvlJc w:val="left"/>
      <w:pPr>
        <w:ind w:left="5029" w:firstLine="0"/>
      </w:pPr>
    </w:lvl>
    <w:lvl w:ilvl="7" w:tplc="9BDE1030">
      <w:start w:val="1"/>
      <w:numFmt w:val="lowerLetter"/>
      <w:lvlText w:val="%8."/>
      <w:lvlJc w:val="left"/>
      <w:pPr>
        <w:ind w:left="5749" w:firstLine="0"/>
      </w:pPr>
    </w:lvl>
    <w:lvl w:ilvl="8" w:tplc="71621B90">
      <w:start w:val="1"/>
      <w:numFmt w:val="lowerRoman"/>
      <w:lvlText w:val="%9."/>
      <w:lvlJc w:val="left"/>
      <w:pPr>
        <w:ind w:left="6649" w:firstLine="0"/>
      </w:pPr>
    </w:lvl>
  </w:abstractNum>
  <w:abstractNum w:abstractNumId="6" w15:restartNumberingAfterBreak="0">
    <w:nsid w:val="66923E96"/>
    <w:multiLevelType w:val="hybridMultilevel"/>
    <w:tmpl w:val="A53EC6AE"/>
    <w:name w:val="Нумерованный список 7"/>
    <w:lvl w:ilvl="0" w:tplc="7D8CC012">
      <w:start w:val="1"/>
      <w:numFmt w:val="decimal"/>
      <w:lvlText w:val="%1."/>
      <w:lvlJc w:val="left"/>
      <w:pPr>
        <w:ind w:left="360" w:firstLine="0"/>
      </w:pPr>
    </w:lvl>
    <w:lvl w:ilvl="1" w:tplc="20221FE8">
      <w:start w:val="1"/>
      <w:numFmt w:val="lowerLetter"/>
      <w:lvlText w:val="%2."/>
      <w:lvlJc w:val="left"/>
      <w:pPr>
        <w:ind w:left="1080" w:firstLine="0"/>
      </w:pPr>
    </w:lvl>
    <w:lvl w:ilvl="2" w:tplc="6F66107A">
      <w:start w:val="1"/>
      <w:numFmt w:val="lowerRoman"/>
      <w:lvlText w:val="%3."/>
      <w:lvlJc w:val="left"/>
      <w:pPr>
        <w:ind w:left="1980" w:firstLine="0"/>
      </w:pPr>
    </w:lvl>
    <w:lvl w:ilvl="3" w:tplc="6C406D3E">
      <w:start w:val="1"/>
      <w:numFmt w:val="decimal"/>
      <w:lvlText w:val="%4."/>
      <w:lvlJc w:val="left"/>
      <w:pPr>
        <w:ind w:left="2520" w:firstLine="0"/>
      </w:pPr>
    </w:lvl>
    <w:lvl w:ilvl="4" w:tplc="7AB62C66">
      <w:start w:val="1"/>
      <w:numFmt w:val="lowerLetter"/>
      <w:lvlText w:val="%5."/>
      <w:lvlJc w:val="left"/>
      <w:pPr>
        <w:ind w:left="3240" w:firstLine="0"/>
      </w:pPr>
    </w:lvl>
    <w:lvl w:ilvl="5" w:tplc="CBBC7212">
      <w:start w:val="1"/>
      <w:numFmt w:val="lowerRoman"/>
      <w:lvlText w:val="%6."/>
      <w:lvlJc w:val="left"/>
      <w:pPr>
        <w:ind w:left="4140" w:firstLine="0"/>
      </w:pPr>
    </w:lvl>
    <w:lvl w:ilvl="6" w:tplc="A9825BD6">
      <w:start w:val="1"/>
      <w:numFmt w:val="decimal"/>
      <w:lvlText w:val="%7."/>
      <w:lvlJc w:val="left"/>
      <w:pPr>
        <w:ind w:left="4680" w:firstLine="0"/>
      </w:pPr>
    </w:lvl>
    <w:lvl w:ilvl="7" w:tplc="8D1A94C0">
      <w:start w:val="1"/>
      <w:numFmt w:val="lowerLetter"/>
      <w:lvlText w:val="%8."/>
      <w:lvlJc w:val="left"/>
      <w:pPr>
        <w:ind w:left="5400" w:firstLine="0"/>
      </w:pPr>
    </w:lvl>
    <w:lvl w:ilvl="8" w:tplc="037274C0">
      <w:start w:val="1"/>
      <w:numFmt w:val="lowerRoman"/>
      <w:lvlText w:val="%9."/>
      <w:lvlJc w:val="left"/>
      <w:pPr>
        <w:ind w:left="6300" w:firstLine="0"/>
      </w:pPr>
    </w:lvl>
  </w:abstractNum>
  <w:abstractNum w:abstractNumId="7" w15:restartNumberingAfterBreak="0">
    <w:nsid w:val="7E6E285C"/>
    <w:multiLevelType w:val="hybridMultilevel"/>
    <w:tmpl w:val="0212E300"/>
    <w:name w:val="Нумерованный список 3"/>
    <w:lvl w:ilvl="0" w:tplc="222436D0">
      <w:start w:val="1"/>
      <w:numFmt w:val="decimal"/>
      <w:lvlText w:val="%1."/>
      <w:lvlJc w:val="left"/>
      <w:pPr>
        <w:ind w:left="1069" w:firstLine="0"/>
      </w:pPr>
    </w:lvl>
    <w:lvl w:ilvl="1" w:tplc="3CB8ED5E">
      <w:start w:val="1"/>
      <w:numFmt w:val="lowerLetter"/>
      <w:lvlText w:val="%2."/>
      <w:lvlJc w:val="left"/>
      <w:pPr>
        <w:ind w:left="1789" w:firstLine="0"/>
      </w:pPr>
    </w:lvl>
    <w:lvl w:ilvl="2" w:tplc="DFA0BCEC">
      <w:start w:val="1"/>
      <w:numFmt w:val="lowerRoman"/>
      <w:lvlText w:val="%3."/>
      <w:lvlJc w:val="left"/>
      <w:pPr>
        <w:ind w:left="2689" w:firstLine="0"/>
      </w:pPr>
    </w:lvl>
    <w:lvl w:ilvl="3" w:tplc="24DA39D0">
      <w:start w:val="1"/>
      <w:numFmt w:val="decimal"/>
      <w:lvlText w:val="%4."/>
      <w:lvlJc w:val="left"/>
      <w:pPr>
        <w:ind w:left="3229" w:firstLine="0"/>
      </w:pPr>
    </w:lvl>
    <w:lvl w:ilvl="4" w:tplc="46E8C26A">
      <w:start w:val="1"/>
      <w:numFmt w:val="lowerLetter"/>
      <w:lvlText w:val="%5."/>
      <w:lvlJc w:val="left"/>
      <w:pPr>
        <w:ind w:left="3949" w:firstLine="0"/>
      </w:pPr>
    </w:lvl>
    <w:lvl w:ilvl="5" w:tplc="F7981F96">
      <w:start w:val="1"/>
      <w:numFmt w:val="lowerRoman"/>
      <w:lvlText w:val="%6."/>
      <w:lvlJc w:val="left"/>
      <w:pPr>
        <w:ind w:left="4849" w:firstLine="0"/>
      </w:pPr>
    </w:lvl>
    <w:lvl w:ilvl="6" w:tplc="1FA8CFA4">
      <w:start w:val="1"/>
      <w:numFmt w:val="decimal"/>
      <w:lvlText w:val="%7."/>
      <w:lvlJc w:val="left"/>
      <w:pPr>
        <w:ind w:left="5389" w:firstLine="0"/>
      </w:pPr>
    </w:lvl>
    <w:lvl w:ilvl="7" w:tplc="4E6AC998">
      <w:start w:val="1"/>
      <w:numFmt w:val="lowerLetter"/>
      <w:lvlText w:val="%8."/>
      <w:lvlJc w:val="left"/>
      <w:pPr>
        <w:ind w:left="6109" w:firstLine="0"/>
      </w:pPr>
    </w:lvl>
    <w:lvl w:ilvl="8" w:tplc="4B705C98">
      <w:start w:val="1"/>
      <w:numFmt w:val="lowerRoman"/>
      <w:lvlText w:val="%9."/>
      <w:lvlJc w:val="left"/>
      <w:pPr>
        <w:ind w:left="7009" w:firstLine="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3DB6"/>
    <w:rsid w:val="00493DB6"/>
    <w:rsid w:val="007B7C7F"/>
    <w:rsid w:val="008C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23EEC"/>
  <w15:docId w15:val="{14CA5C6A-7D4E-4F70-9B9A-8DEDE8222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color w:val="000000"/>
      <w:sz w:val="24"/>
      <w:szCs w:val="28"/>
    </w:rPr>
  </w:style>
  <w:style w:type="paragraph" w:styleId="1">
    <w:name w:val="heading 1"/>
    <w:basedOn w:val="a"/>
    <w:qFormat/>
    <w:pPr>
      <w:spacing w:before="100" w:beforeAutospacing="1" w:after="100" w:afterAutospacing="1"/>
      <w:outlineLvl w:val="0"/>
    </w:pPr>
    <w:rPr>
      <w:b/>
      <w:bCs/>
      <w:color w:val="auto"/>
      <w:kern w:val="1"/>
      <w:sz w:val="48"/>
      <w:szCs w:val="48"/>
    </w:rPr>
  </w:style>
  <w:style w:type="paragraph" w:styleId="2">
    <w:name w:val="heading 2"/>
    <w:basedOn w:val="1"/>
    <w:next w:val="a"/>
    <w:qFormat/>
    <w:pPr>
      <w:keepNext/>
      <w:keepLines/>
      <w:widowControl w:val="0"/>
      <w:spacing w:before="240" w:beforeAutospacing="0" w:after="60" w:afterAutospacing="0"/>
      <w:outlineLvl w:val="1"/>
    </w:pPr>
    <w:rPr>
      <w:rFonts w:ascii="Arial" w:eastAsia="SimSun" w:hAnsi="Arial" w:cs="Arial"/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qFormat/>
    <w:rPr>
      <w:color w:val="000000"/>
      <w:sz w:val="24"/>
      <w:szCs w:val="28"/>
    </w:rPr>
  </w:style>
  <w:style w:type="paragraph" w:customStyle="1" w:styleId="Style19">
    <w:name w:val="Style19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Default">
    <w:name w:val="Default"/>
    <w:qFormat/>
    <w:pPr>
      <w:widowControl w:val="0"/>
    </w:pPr>
    <w:rPr>
      <w:color w:val="000000"/>
      <w:sz w:val="24"/>
      <w:szCs w:val="24"/>
    </w:rPr>
  </w:style>
  <w:style w:type="paragraph" w:customStyle="1" w:styleId="Style2">
    <w:name w:val="Style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0">
    <w:name w:val="Style2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30">
    <w:name w:val="Style30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customStyle="1" w:styleId="Style22">
    <w:name w:val="Style22"/>
    <w:basedOn w:val="a"/>
    <w:qFormat/>
    <w:pPr>
      <w:widowControl w:val="0"/>
    </w:pPr>
    <w:rPr>
      <w:rFonts w:ascii="Arial" w:hAnsi="Arial" w:cs="Arial"/>
      <w:color w:val="auto"/>
      <w:szCs w:val="24"/>
    </w:rPr>
  </w:style>
  <w:style w:type="paragraph" w:styleId="a3">
    <w:name w:val="Body Text"/>
    <w:basedOn w:val="a"/>
    <w:qFormat/>
    <w:pPr>
      <w:jc w:val="center"/>
    </w:pPr>
    <w:rPr>
      <w:rFonts w:ascii="Times Kaz" w:hAnsi="Times Kaz"/>
      <w:color w:val="auto"/>
      <w:sz w:val="20"/>
      <w:szCs w:val="20"/>
    </w:rPr>
  </w:style>
  <w:style w:type="paragraph" w:styleId="a4">
    <w:name w:val="List Paragraph"/>
    <w:basedOn w:val="a"/>
    <w:qFormat/>
    <w:pPr>
      <w:ind w:left="720"/>
      <w:contextualSpacing/>
    </w:pPr>
  </w:style>
  <w:style w:type="paragraph" w:styleId="a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30">
    <w:name w:val="Body Text 3"/>
    <w:basedOn w:val="a"/>
    <w:qFormat/>
    <w:pPr>
      <w:spacing w:after="120"/>
    </w:pPr>
    <w:rPr>
      <w:sz w:val="16"/>
      <w:szCs w:val="16"/>
    </w:rPr>
  </w:style>
  <w:style w:type="paragraph" w:styleId="a6">
    <w:name w:val="Title"/>
    <w:basedOn w:val="a"/>
    <w:qFormat/>
    <w:pPr>
      <w:jc w:val="center"/>
    </w:pPr>
    <w:rPr>
      <w:color w:val="auto"/>
      <w:sz w:val="28"/>
      <w:szCs w:val="24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paragraph" w:customStyle="1" w:styleId="docfieldheader">
    <w:name w:val="doc_field_header"/>
    <w:basedOn w:val="a"/>
    <w:qFormat/>
    <w:pPr>
      <w:spacing w:before="100" w:beforeAutospacing="1" w:after="100" w:afterAutospacing="1"/>
    </w:pPr>
    <w:rPr>
      <w:color w:val="auto"/>
      <w:szCs w:val="24"/>
    </w:rPr>
  </w:style>
  <w:style w:type="character" w:customStyle="1" w:styleId="FontStyle106">
    <w:name w:val="Font Style106"/>
    <w:rPr>
      <w:rFonts w:ascii="Arial" w:hAnsi="Arial" w:cs="Arial"/>
      <w:color w:val="000000"/>
      <w:spacing w:val="158"/>
      <w:sz w:val="18"/>
      <w:szCs w:val="18"/>
    </w:rPr>
  </w:style>
  <w:style w:type="character" w:customStyle="1" w:styleId="FontStyle110">
    <w:name w:val="Font Style110"/>
    <w:rPr>
      <w:rFonts w:ascii="Arial" w:hAnsi="Arial" w:cs="Arial"/>
      <w:color w:val="000000"/>
      <w:sz w:val="20"/>
      <w:szCs w:val="20"/>
    </w:rPr>
  </w:style>
  <w:style w:type="character" w:customStyle="1" w:styleId="11">
    <w:name w:val="Заголовок 1 Знак"/>
    <w:basedOn w:val="a0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apple-style-span">
    <w:name w:val="apple-style-span"/>
    <w:basedOn w:val="a0"/>
  </w:style>
  <w:style w:type="character" w:customStyle="1" w:styleId="FontStyle71">
    <w:name w:val="Font Style71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77">
    <w:name w:val="Font Style77"/>
    <w:rPr>
      <w:rFonts w:ascii="Arial" w:hAnsi="Arial" w:cs="Arial"/>
      <w:color w:val="000000"/>
      <w:sz w:val="16"/>
      <w:szCs w:val="16"/>
    </w:rPr>
  </w:style>
  <w:style w:type="character" w:customStyle="1" w:styleId="FontStyle48">
    <w:name w:val="Font Style48"/>
    <w:rPr>
      <w:rFonts w:ascii="Arial" w:hAnsi="Arial" w:cs="Arial"/>
      <w:color w:val="000000"/>
      <w:sz w:val="18"/>
      <w:szCs w:val="18"/>
    </w:rPr>
  </w:style>
  <w:style w:type="character" w:customStyle="1" w:styleId="a8">
    <w:name w:val="Основной текст Знак"/>
    <w:basedOn w:val="a0"/>
    <w:rPr>
      <w:rFonts w:ascii="Times Kaz" w:eastAsia="Times New Roman" w:hAnsi="Times Kaz" w:cs="Times New Roman"/>
      <w:sz w:val="20"/>
      <w:szCs w:val="20"/>
    </w:rPr>
  </w:style>
  <w:style w:type="character" w:customStyle="1" w:styleId="apple-converted-space">
    <w:name w:val="apple-converted-space"/>
  </w:style>
  <w:style w:type="character" w:styleId="a9">
    <w:name w:val="Hyperlink"/>
    <w:rPr>
      <w:color w:val="0000FF"/>
      <w:u w:val="single"/>
    </w:rPr>
  </w:style>
  <w:style w:type="character" w:customStyle="1" w:styleId="aa">
    <w:name w:val="Текст выноски Знак"/>
    <w:basedOn w:val="a0"/>
    <w:rPr>
      <w:rFonts w:ascii="Tahoma" w:eastAsia="Times New Roman" w:hAnsi="Tahoma" w:cs="Tahoma"/>
      <w:color w:val="000000"/>
      <w:sz w:val="16"/>
      <w:szCs w:val="16"/>
    </w:rPr>
  </w:style>
  <w:style w:type="character" w:customStyle="1" w:styleId="31">
    <w:name w:val="Основной текст 3 Знак"/>
    <w:basedOn w:val="a0"/>
    <w:rPr>
      <w:rFonts w:ascii="Times New Roman" w:eastAsia="Times New Roman" w:hAnsi="Times New Roman" w:cs="Times New Roman"/>
      <w:color w:val="000000"/>
      <w:sz w:val="16"/>
      <w:szCs w:val="16"/>
    </w:rPr>
  </w:style>
  <w:style w:type="character" w:customStyle="1" w:styleId="ab">
    <w:name w:val="Название Знак"/>
    <w:basedOn w:val="a0"/>
    <w:rPr>
      <w:rFonts w:ascii="Times New Roman" w:eastAsia="Times New Roman" w:hAnsi="Times New Roman" w:cs="Times New Roman"/>
      <w:noProof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Система РНПЦ</cp:lastModifiedBy>
  <cp:revision>40</cp:revision>
  <cp:lastPrinted>2018-06-11T03:54:00Z</cp:lastPrinted>
  <dcterms:created xsi:type="dcterms:W3CDTF">2015-08-03T06:32:00Z</dcterms:created>
  <dcterms:modified xsi:type="dcterms:W3CDTF">2020-03-10T06:52:00Z</dcterms:modified>
</cp:coreProperties>
</file>